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8195"/>
      </w:tblGrid>
      <w:tr w:rsidR="005F122D" w:rsidRPr="00593C72" w:rsidTr="005F122D">
        <w:tc>
          <w:tcPr>
            <w:tcW w:w="1809" w:type="dxa"/>
          </w:tcPr>
          <w:p w:rsidR="005F122D" w:rsidRPr="00593C72" w:rsidRDefault="005F122D" w:rsidP="003D6DC1">
            <w:pPr>
              <w:pStyle w:val="Default"/>
              <w:rPr>
                <w:lang w:val="en-GB"/>
              </w:rPr>
            </w:pPr>
            <w:r w:rsidRPr="00593C72">
              <w:rPr>
                <w:lang w:val="en-GB"/>
              </w:rPr>
              <w:drawing>
                <wp:inline distT="0" distB="0" distL="0" distR="0">
                  <wp:extent cx="960120" cy="6851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0120" cy="685165"/>
                          </a:xfrm>
                          <a:prstGeom prst="rect">
                            <a:avLst/>
                          </a:prstGeom>
                          <a:noFill/>
                          <a:ln>
                            <a:noFill/>
                          </a:ln>
                        </pic:spPr>
                      </pic:pic>
                    </a:graphicData>
                  </a:graphic>
                </wp:inline>
              </w:drawing>
            </w:r>
          </w:p>
        </w:tc>
        <w:tc>
          <w:tcPr>
            <w:tcW w:w="8195" w:type="dxa"/>
          </w:tcPr>
          <w:p w:rsidR="005F122D" w:rsidRPr="00593C72" w:rsidRDefault="005F122D" w:rsidP="005F122D">
            <w:pPr>
              <w:autoSpaceDE w:val="0"/>
              <w:autoSpaceDN w:val="0"/>
              <w:adjustRightInd w:val="0"/>
              <w:jc w:val="center"/>
              <w:rPr>
                <w:rFonts w:ascii="Calibri" w:eastAsiaTheme="minorHAnsi" w:hAnsi="Calibri" w:cs="Calibri"/>
                <w:color w:val="000000"/>
                <w:sz w:val="23"/>
                <w:szCs w:val="23"/>
                <w:lang w:val="en-GB" w:eastAsia="en-US"/>
              </w:rPr>
            </w:pPr>
            <w:r w:rsidRPr="00593C72">
              <w:rPr>
                <w:rFonts w:ascii="Calibri" w:eastAsiaTheme="minorHAnsi" w:hAnsi="Calibri" w:cs="Calibri"/>
                <w:b/>
                <w:color w:val="000000"/>
                <w:sz w:val="23"/>
                <w:szCs w:val="23"/>
                <w:lang w:val="en-GB" w:bidi="en-GB"/>
              </w:rPr>
              <w:t>CONSENT TO PERSONAL DATA PROCESSING</w:t>
            </w:r>
          </w:p>
          <w:p w:rsidR="005F122D" w:rsidRPr="00593C72" w:rsidRDefault="005F122D" w:rsidP="005F122D">
            <w:pPr>
              <w:pStyle w:val="Default"/>
              <w:rPr>
                <w:lang w:val="en-GB"/>
              </w:rPr>
            </w:pPr>
            <w:r w:rsidRPr="00593C72">
              <w:rPr>
                <w:rFonts w:eastAsiaTheme="minorHAnsi"/>
                <w:i/>
                <w:sz w:val="20"/>
                <w:szCs w:val="20"/>
                <w:lang w:val="en-GB" w:bidi="en-GB"/>
              </w:rPr>
              <w:t xml:space="preserve">in accordance with Article 6(1)(a) and Article 7 of Regulation (EU) 2016/679 of the European Parliament and of the Council of 27 April 2016 on the protection of natural persons with regard to the processing of personal data and on the free movement of such data, and repealing Directive 95/46/EC (hereinafter “GDPR”) </w:t>
            </w:r>
          </w:p>
        </w:tc>
      </w:tr>
    </w:tbl>
    <w:p w:rsidR="005F122D" w:rsidRPr="00593C72" w:rsidRDefault="005F122D" w:rsidP="003D6DC1">
      <w:pPr>
        <w:pStyle w:val="Default"/>
        <w:rPr>
          <w:lang w:val="en-GB"/>
        </w:rPr>
      </w:pPr>
    </w:p>
    <w:p w:rsidR="00411854" w:rsidRPr="00593C72" w:rsidRDefault="00411854" w:rsidP="00411854">
      <w:pPr>
        <w:autoSpaceDE w:val="0"/>
        <w:autoSpaceDN w:val="0"/>
        <w:adjustRightInd w:val="0"/>
        <w:rPr>
          <w:rFonts w:ascii="Calibri" w:eastAsiaTheme="minorHAnsi" w:hAnsi="Calibri" w:cs="Calibri"/>
          <w:color w:val="000000"/>
          <w:sz w:val="24"/>
          <w:szCs w:val="24"/>
          <w:lang w:val="en-GB" w:eastAsia="en-US"/>
        </w:rPr>
      </w:pPr>
    </w:p>
    <w:p w:rsidR="00411854" w:rsidRPr="00593C72" w:rsidRDefault="00411854" w:rsidP="00411854">
      <w:pPr>
        <w:tabs>
          <w:tab w:val="left" w:pos="3881"/>
        </w:tabs>
        <w:autoSpaceDE w:val="0"/>
        <w:autoSpaceDN w:val="0"/>
        <w:adjustRightInd w:val="0"/>
        <w:rPr>
          <w:rFonts w:ascii="Calibri" w:eastAsiaTheme="minorHAnsi" w:hAnsi="Calibri" w:cs="Calibri"/>
          <w:color w:val="000000"/>
          <w:lang w:val="en-GB" w:eastAsia="en-US"/>
        </w:rPr>
      </w:pPr>
      <w:r w:rsidRPr="00593C72">
        <w:rPr>
          <w:rFonts w:ascii="Calibri" w:eastAsiaTheme="minorHAnsi" w:hAnsi="Calibri" w:cs="Calibri"/>
          <w:i/>
          <w:color w:val="000000"/>
          <w:lang w:val="en-GB" w:bidi="en-GB"/>
        </w:rPr>
        <w:t xml:space="preserve">client </w:t>
      </w:r>
      <w:r w:rsidRPr="00593C72">
        <w:rPr>
          <w:rFonts w:ascii="Calibri" w:eastAsiaTheme="minorHAnsi" w:hAnsi="Calibri" w:cs="Calibri"/>
          <w:i/>
          <w:color w:val="000000"/>
          <w:lang w:val="en-GB" w:bidi="en-GB"/>
        </w:rPr>
        <w:tab/>
        <w:t xml:space="preserve">born on </w:t>
      </w:r>
    </w:p>
    <w:p w:rsidR="00411854" w:rsidRPr="00593C72" w:rsidRDefault="00411854" w:rsidP="003D6DC1">
      <w:pPr>
        <w:pStyle w:val="Default"/>
        <w:rPr>
          <w:i/>
          <w:sz w:val="20"/>
          <w:lang w:val="en-GB"/>
        </w:rPr>
      </w:pPr>
      <w:r w:rsidRPr="00593C72">
        <w:rPr>
          <w:i/>
          <w:sz w:val="20"/>
          <w:szCs w:val="20"/>
          <w:lang w:val="en-GB" w:bidi="en-GB"/>
        </w:rPr>
        <w:t>legal guardian</w:t>
      </w:r>
      <w:r w:rsidRPr="00593C72">
        <w:rPr>
          <w:i/>
          <w:sz w:val="20"/>
          <w:szCs w:val="20"/>
          <w:lang w:val="en-GB" w:bidi="en-GB"/>
        </w:rPr>
        <w:tab/>
      </w:r>
    </w:p>
    <w:p w:rsidR="00164CC2" w:rsidRPr="00593C72" w:rsidRDefault="00164CC2" w:rsidP="003D6DC1">
      <w:pPr>
        <w:pStyle w:val="Default"/>
        <w:rPr>
          <w:i/>
          <w:sz w:val="20"/>
          <w:lang w:val="en-GB"/>
        </w:rPr>
      </w:pPr>
    </w:p>
    <w:p w:rsidR="003D6DC1" w:rsidRPr="00593C72" w:rsidRDefault="00164CC2" w:rsidP="00164CC2">
      <w:pPr>
        <w:pStyle w:val="Default"/>
        <w:tabs>
          <w:tab w:val="left" w:pos="9781"/>
        </w:tabs>
        <w:rPr>
          <w:sz w:val="20"/>
          <w:szCs w:val="20"/>
          <w:lang w:val="en-GB"/>
        </w:rPr>
      </w:pPr>
      <w:r w:rsidRPr="00593C72">
        <w:rPr>
          <w:sz w:val="20"/>
          <w:szCs w:val="20"/>
          <w:lang w:val="en-GB" w:bidi="en-GB"/>
        </w:rPr>
        <w:t xml:space="preserve"> </w:t>
      </w:r>
      <w:r w:rsidRPr="00593C72">
        <w:rPr>
          <w:b/>
          <w:sz w:val="20"/>
          <w:szCs w:val="20"/>
          <w:shd w:val="clear" w:color="auto" w:fill="FFCF00"/>
          <w:lang w:val="en-GB" w:bidi="en-GB"/>
        </w:rPr>
        <w:t xml:space="preserve"> I HEREBY FREELY AND VOLUNTARILY GIVE CONSENT TO THE PROCESSING OF PERSONAL DATA </w:t>
      </w:r>
      <w:r w:rsidR="003D6DC1" w:rsidRPr="00593C72">
        <w:rPr>
          <w:sz w:val="20"/>
          <w:szCs w:val="20"/>
          <w:shd w:val="clear" w:color="auto" w:fill="FFCF00"/>
          <w:lang w:val="en-GB" w:bidi="en-GB"/>
        </w:rPr>
        <w:t>(“Consent”)</w:t>
      </w:r>
      <w:r w:rsidR="003D6DC1" w:rsidRPr="00593C72">
        <w:rPr>
          <w:sz w:val="20"/>
          <w:szCs w:val="20"/>
          <w:shd w:val="clear" w:color="auto" w:fill="FFCF00"/>
          <w:lang w:val="en-GB" w:bidi="en-GB"/>
        </w:rPr>
        <w:tab/>
      </w:r>
      <w:r w:rsidRPr="00593C72">
        <w:rPr>
          <w:sz w:val="20"/>
          <w:szCs w:val="20"/>
          <w:lang w:val="en-GB" w:bidi="en-GB"/>
        </w:rPr>
        <w:t xml:space="preserve"> </w:t>
      </w:r>
    </w:p>
    <w:p w:rsidR="003D6DC1" w:rsidRPr="00593C72" w:rsidRDefault="003D6DC1" w:rsidP="005F122D">
      <w:pPr>
        <w:pStyle w:val="Default"/>
        <w:jc w:val="center"/>
        <w:rPr>
          <w:sz w:val="20"/>
          <w:szCs w:val="20"/>
          <w:lang w:val="en-GB"/>
        </w:rPr>
      </w:pPr>
      <w:r w:rsidRPr="00593C72">
        <w:rPr>
          <w:b/>
          <w:sz w:val="20"/>
          <w:szCs w:val="20"/>
          <w:lang w:val="en-GB" w:bidi="en-GB"/>
        </w:rPr>
        <w:t>as a client (or legal guardian of the client)</w:t>
      </w:r>
    </w:p>
    <w:p w:rsidR="003D6DC1" w:rsidRPr="00593C72" w:rsidRDefault="003D6DC1" w:rsidP="003D6DC1">
      <w:pPr>
        <w:pStyle w:val="Default"/>
        <w:rPr>
          <w:sz w:val="20"/>
          <w:szCs w:val="20"/>
          <w:lang w:val="en-GB"/>
        </w:rPr>
      </w:pPr>
      <w:r w:rsidRPr="00593C72">
        <w:rPr>
          <w:sz w:val="20"/>
          <w:szCs w:val="20"/>
          <w:lang w:val="en-GB" w:bidi="en-GB"/>
        </w:rPr>
        <w:t xml:space="preserve">of the company </w:t>
      </w:r>
      <w:r w:rsidRPr="00593C72">
        <w:rPr>
          <w:b/>
          <w:sz w:val="20"/>
          <w:szCs w:val="20"/>
          <w:lang w:val="en-GB" w:bidi="en-GB"/>
        </w:rPr>
        <w:t xml:space="preserve">Pedagogicko-psychologická poradna STEP s.r.o., registered offices Floriánská 421, Kladno, 272 01, Comp. ID 3345467 </w:t>
      </w:r>
    </w:p>
    <w:p w:rsidR="003D6DC1" w:rsidRPr="00593C72" w:rsidRDefault="003D6DC1" w:rsidP="003D6DC1">
      <w:pPr>
        <w:pStyle w:val="Default"/>
        <w:rPr>
          <w:sz w:val="20"/>
          <w:szCs w:val="20"/>
          <w:lang w:val="en-GB"/>
        </w:rPr>
      </w:pPr>
      <w:r w:rsidRPr="00593C72">
        <w:rPr>
          <w:sz w:val="20"/>
          <w:szCs w:val="20"/>
          <w:lang w:val="en-GB" w:bidi="en-GB"/>
        </w:rPr>
        <w:t xml:space="preserve">(PPP STEP) as specified in this document below </w:t>
      </w:r>
    </w:p>
    <w:p w:rsidR="003D6DC1" w:rsidRPr="00593C72" w:rsidRDefault="003D6DC1" w:rsidP="005F122D">
      <w:pPr>
        <w:pStyle w:val="Heading2"/>
        <w:rPr>
          <w:lang w:val="en-GB"/>
        </w:rPr>
      </w:pPr>
      <w:r w:rsidRPr="00593C72">
        <w:rPr>
          <w:lang w:val="en-GB" w:bidi="en-GB"/>
        </w:rPr>
        <w:t>I</w:t>
      </w:r>
      <w:r w:rsidR="00F74573">
        <w:rPr>
          <w:lang w:val="en-GB" w:bidi="en-GB"/>
        </w:rPr>
        <w:t>.</w:t>
      </w:r>
      <w:r w:rsidRPr="00593C72">
        <w:rPr>
          <w:lang w:val="en-GB" w:bidi="en-GB"/>
        </w:rPr>
        <w:t xml:space="preserve"> Personal data processing</w:t>
      </w:r>
    </w:p>
    <w:p w:rsidR="003D6DC1" w:rsidRPr="00593C72" w:rsidRDefault="003D6DC1" w:rsidP="005F122D">
      <w:pPr>
        <w:pStyle w:val="Default"/>
        <w:numPr>
          <w:ilvl w:val="0"/>
          <w:numId w:val="7"/>
        </w:numPr>
        <w:ind w:left="360"/>
        <w:rPr>
          <w:sz w:val="20"/>
          <w:szCs w:val="20"/>
          <w:lang w:val="en-GB"/>
        </w:rPr>
      </w:pPr>
      <w:r w:rsidRPr="00593C72">
        <w:rPr>
          <w:sz w:val="20"/>
          <w:szCs w:val="20"/>
          <w:lang w:val="en-GB" w:bidi="en-GB"/>
        </w:rPr>
        <w:t xml:space="preserve">I hereby accept that PPP STEP processes </w:t>
      </w:r>
      <w:r w:rsidRPr="00593C72">
        <w:rPr>
          <w:b/>
          <w:sz w:val="20"/>
          <w:szCs w:val="20"/>
          <w:u w:val="single"/>
          <w:lang w:val="en-GB" w:bidi="en-GB"/>
        </w:rPr>
        <w:t>– personal and sensitive personal data</w:t>
      </w:r>
      <w:r w:rsidRPr="00593C72">
        <w:rPr>
          <w:sz w:val="20"/>
          <w:szCs w:val="20"/>
          <w:lang w:val="en-GB" w:bidi="en-GB"/>
        </w:rPr>
        <w:t xml:space="preserve"> of the client (or their legal guardian). </w:t>
      </w:r>
    </w:p>
    <w:p w:rsidR="003D6DC1" w:rsidRPr="00593C72" w:rsidRDefault="003D6DC1" w:rsidP="005F122D">
      <w:pPr>
        <w:pStyle w:val="Default"/>
        <w:rPr>
          <w:sz w:val="20"/>
          <w:szCs w:val="20"/>
          <w:lang w:val="en-GB"/>
        </w:rPr>
      </w:pPr>
      <w:r w:rsidRPr="00593C72">
        <w:rPr>
          <w:i/>
          <w:sz w:val="20"/>
          <w:szCs w:val="20"/>
          <w:lang w:val="en-GB" w:bidi="en-GB"/>
        </w:rPr>
        <w:t xml:space="preserve">Personal data is taken here to mean: name and surname, date of birth, place of permanent residence, client contact information (or that of their legal guardian) – email address, phone number, information on the school the client is being educated at. </w:t>
      </w:r>
    </w:p>
    <w:p w:rsidR="003D6DC1" w:rsidRPr="00593C72" w:rsidRDefault="003D6DC1" w:rsidP="005F122D">
      <w:pPr>
        <w:pStyle w:val="Default"/>
        <w:spacing w:after="60"/>
        <w:rPr>
          <w:sz w:val="20"/>
          <w:szCs w:val="20"/>
          <w:lang w:val="en-GB"/>
        </w:rPr>
      </w:pPr>
      <w:r w:rsidRPr="00593C72">
        <w:rPr>
          <w:i/>
          <w:sz w:val="20"/>
          <w:szCs w:val="20"/>
          <w:lang w:val="en-GB" w:bidi="en-GB"/>
        </w:rPr>
        <w:t>Sensitive personal data is taken to mean: medical history, records of the progress of evaluations, record sheets from diagnostic tools used, copies of school work, school questionnaires, written findings from evaluations including recommendations.</w:t>
      </w:r>
    </w:p>
    <w:p w:rsidR="003D6DC1" w:rsidRPr="00593C72" w:rsidRDefault="003D6DC1" w:rsidP="005F122D">
      <w:pPr>
        <w:pStyle w:val="Default"/>
        <w:spacing w:after="120"/>
        <w:rPr>
          <w:sz w:val="20"/>
          <w:szCs w:val="20"/>
          <w:lang w:val="en-GB"/>
        </w:rPr>
      </w:pPr>
      <w:r w:rsidRPr="00593C72">
        <w:rPr>
          <w:sz w:val="20"/>
          <w:szCs w:val="20"/>
          <w:lang w:val="en-GB" w:bidi="en-GB"/>
        </w:rPr>
        <w:t xml:space="preserve">Personal data and sensitive personal data will be processed for the purposes of fulfilling other legal regulations (Act No. 561/2004 Coll. from 24 September 2004 on pre-school, basic, secondary, tertiary professional and other education (the Education Act), as amended; Decree No. 27/2016 Coll. on the education of pupils with special educational needs (SEN) and talented pupils as amended; Decree No. 72/2005 Coll. on the provision of counselling services and facilities in schools, and as amended). </w:t>
      </w:r>
    </w:p>
    <w:p w:rsidR="003D6DC1" w:rsidRPr="00593C72" w:rsidRDefault="003D6DC1" w:rsidP="005F122D">
      <w:pPr>
        <w:pStyle w:val="Default"/>
        <w:numPr>
          <w:ilvl w:val="0"/>
          <w:numId w:val="7"/>
        </w:numPr>
        <w:ind w:left="360"/>
        <w:rPr>
          <w:sz w:val="20"/>
          <w:szCs w:val="20"/>
          <w:lang w:val="en-GB"/>
        </w:rPr>
      </w:pPr>
      <w:r w:rsidRPr="00593C72">
        <w:rPr>
          <w:sz w:val="20"/>
          <w:szCs w:val="20"/>
          <w:lang w:val="en-GB" w:bidi="en-GB"/>
        </w:rPr>
        <w:t xml:space="preserve">I </w:t>
      </w:r>
      <w:r w:rsidRPr="00593C72">
        <w:rPr>
          <w:b/>
          <w:sz w:val="20"/>
          <w:szCs w:val="20"/>
          <w:lang w:val="en-GB" w:bidi="en-GB"/>
        </w:rPr>
        <w:t>consent / do not consent</w:t>
      </w:r>
      <w:r w:rsidRPr="00593C72">
        <w:rPr>
          <w:sz w:val="20"/>
          <w:szCs w:val="20"/>
          <w:lang w:val="en-GB" w:bidi="en-GB"/>
        </w:rPr>
        <w:t xml:space="preserve"> for PPP STEP to process </w:t>
      </w:r>
      <w:r w:rsidRPr="00593C72">
        <w:rPr>
          <w:b/>
          <w:sz w:val="20"/>
          <w:szCs w:val="20"/>
          <w:u w:val="single"/>
          <w:lang w:val="en-GB" w:bidi="en-GB"/>
        </w:rPr>
        <w:t>– sensitive personal data</w:t>
      </w:r>
      <w:r w:rsidRPr="00593C72">
        <w:rPr>
          <w:sz w:val="20"/>
          <w:szCs w:val="20"/>
          <w:lang w:val="en-GB" w:bidi="en-GB"/>
        </w:rPr>
        <w:t xml:space="preserve"> of the client (or their legal guardian). </w:t>
      </w:r>
    </w:p>
    <w:p w:rsidR="003D6DC1" w:rsidRPr="00593C72" w:rsidRDefault="003D6DC1" w:rsidP="005F122D">
      <w:pPr>
        <w:pStyle w:val="Default"/>
        <w:spacing w:after="120"/>
        <w:rPr>
          <w:sz w:val="20"/>
          <w:szCs w:val="20"/>
          <w:lang w:val="en-GB"/>
        </w:rPr>
      </w:pPr>
      <w:r w:rsidRPr="00593C72">
        <w:rPr>
          <w:i/>
          <w:sz w:val="20"/>
          <w:szCs w:val="20"/>
          <w:lang w:val="en-GB" w:bidi="en-GB"/>
        </w:rPr>
        <w:t xml:space="preserve">Sensitive personal data is understood to include: medical questionnaires, written reports from specialists, written reports from other counselling institutions. </w:t>
      </w:r>
      <w:r w:rsidRPr="00593C72">
        <w:rPr>
          <w:sz w:val="20"/>
          <w:szCs w:val="20"/>
          <w:lang w:val="en-GB" w:bidi="en-GB"/>
        </w:rPr>
        <w:t xml:space="preserve">We will process your sensitive personal data based on this consent. </w:t>
      </w:r>
    </w:p>
    <w:p w:rsidR="003D6DC1" w:rsidRPr="00593C72" w:rsidRDefault="003D6DC1" w:rsidP="005F122D">
      <w:pPr>
        <w:pStyle w:val="Default"/>
        <w:numPr>
          <w:ilvl w:val="0"/>
          <w:numId w:val="7"/>
        </w:numPr>
        <w:ind w:left="360"/>
        <w:rPr>
          <w:sz w:val="20"/>
          <w:szCs w:val="20"/>
          <w:lang w:val="en-GB"/>
        </w:rPr>
      </w:pPr>
      <w:r w:rsidRPr="00593C72">
        <w:rPr>
          <w:i/>
          <w:sz w:val="20"/>
          <w:szCs w:val="20"/>
          <w:lang w:val="en-GB" w:bidi="en-GB"/>
        </w:rPr>
        <w:t xml:space="preserve">PPP STEP processes evaluation records, records of provided individual and group care and records of collaboration with schools and other school institutions; these records become part of a </w:t>
      </w:r>
      <w:r w:rsidRPr="00593C72">
        <w:rPr>
          <w:b/>
          <w:i/>
          <w:sz w:val="20"/>
          <w:szCs w:val="20"/>
          <w:lang w:val="en-GB" w:bidi="en-GB"/>
        </w:rPr>
        <w:t>client file</w:t>
      </w:r>
      <w:r w:rsidRPr="00593C72">
        <w:rPr>
          <w:i/>
          <w:sz w:val="20"/>
          <w:szCs w:val="20"/>
          <w:lang w:val="en-GB" w:bidi="en-GB"/>
        </w:rPr>
        <w:t xml:space="preserve">. </w:t>
      </w:r>
    </w:p>
    <w:p w:rsidR="003D6DC1" w:rsidRPr="00593C72" w:rsidRDefault="003D6DC1" w:rsidP="003D6DC1">
      <w:pPr>
        <w:pStyle w:val="Default"/>
        <w:rPr>
          <w:sz w:val="20"/>
          <w:szCs w:val="20"/>
          <w:lang w:val="en-GB"/>
        </w:rPr>
      </w:pPr>
      <w:r w:rsidRPr="00593C72">
        <w:rPr>
          <w:i/>
          <w:sz w:val="20"/>
          <w:szCs w:val="20"/>
          <w:lang w:val="en-GB" w:bidi="en-GB"/>
        </w:rPr>
        <w:t xml:space="preserve">A </w:t>
      </w:r>
      <w:r w:rsidRPr="00593C72">
        <w:rPr>
          <w:b/>
          <w:i/>
          <w:sz w:val="20"/>
          <w:szCs w:val="20"/>
          <w:lang w:val="en-GB" w:bidi="en-GB"/>
        </w:rPr>
        <w:t>client file</w:t>
      </w:r>
      <w:r w:rsidRPr="00593C72">
        <w:rPr>
          <w:i/>
          <w:sz w:val="20"/>
          <w:szCs w:val="20"/>
          <w:lang w:val="en-GB" w:bidi="en-GB"/>
        </w:rPr>
        <w:t xml:space="preserve"> contains: </w:t>
      </w:r>
    </w:p>
    <w:p w:rsidR="003D6DC1" w:rsidRPr="00593C72" w:rsidRDefault="003D6DC1" w:rsidP="005F122D">
      <w:pPr>
        <w:pStyle w:val="Default"/>
        <w:numPr>
          <w:ilvl w:val="0"/>
          <w:numId w:val="5"/>
        </w:numPr>
        <w:rPr>
          <w:sz w:val="20"/>
          <w:szCs w:val="20"/>
          <w:lang w:val="en-GB"/>
        </w:rPr>
      </w:pPr>
      <w:r w:rsidRPr="00593C72">
        <w:rPr>
          <w:i/>
          <w:sz w:val="20"/>
          <w:szCs w:val="20"/>
          <w:lang w:val="en-GB" w:bidi="en-GB"/>
        </w:rPr>
        <w:t xml:space="preserve">Information about medical history, school and doctor’s questionnaires, reports of specialists or other counselling institutions, etc.; </w:t>
      </w:r>
    </w:p>
    <w:p w:rsidR="003D6DC1" w:rsidRPr="00593C72" w:rsidRDefault="003D6DC1" w:rsidP="005F122D">
      <w:pPr>
        <w:pStyle w:val="Default"/>
        <w:numPr>
          <w:ilvl w:val="0"/>
          <w:numId w:val="5"/>
        </w:numPr>
        <w:rPr>
          <w:sz w:val="20"/>
          <w:szCs w:val="20"/>
          <w:lang w:val="en-GB"/>
        </w:rPr>
      </w:pPr>
      <w:r w:rsidRPr="00593C72">
        <w:rPr>
          <w:i/>
          <w:sz w:val="20"/>
          <w:szCs w:val="20"/>
          <w:lang w:val="en-GB" w:bidi="en-GB"/>
        </w:rPr>
        <w:t xml:space="preserve">records of the progress of evaluations, record sheets from diagnostic tools used, copies of school work; </w:t>
      </w:r>
    </w:p>
    <w:p w:rsidR="003D6DC1" w:rsidRPr="00593C72" w:rsidRDefault="003D6DC1" w:rsidP="005F122D">
      <w:pPr>
        <w:pStyle w:val="Default"/>
        <w:numPr>
          <w:ilvl w:val="0"/>
          <w:numId w:val="5"/>
        </w:numPr>
        <w:rPr>
          <w:sz w:val="20"/>
          <w:szCs w:val="20"/>
          <w:lang w:val="en-GB"/>
        </w:rPr>
      </w:pPr>
      <w:r w:rsidRPr="00593C72">
        <w:rPr>
          <w:i/>
          <w:sz w:val="20"/>
          <w:szCs w:val="20"/>
          <w:lang w:val="en-GB" w:bidi="en-GB"/>
        </w:rPr>
        <w:t xml:space="preserve">written findings from evaluations including recommendations – these serve as a basis for educational measures and administrative decisions of school headteachers or of educational institutions; they are intended for legal guardians, schools and other institutions. </w:t>
      </w:r>
    </w:p>
    <w:p w:rsidR="003D6DC1" w:rsidRPr="00593C72" w:rsidRDefault="003D6DC1" w:rsidP="003D6DC1">
      <w:pPr>
        <w:pStyle w:val="Default"/>
        <w:rPr>
          <w:sz w:val="20"/>
          <w:szCs w:val="20"/>
          <w:lang w:val="en-GB"/>
        </w:rPr>
      </w:pPr>
      <w:r w:rsidRPr="00593C72">
        <w:rPr>
          <w:b/>
          <w:i/>
          <w:sz w:val="20"/>
          <w:szCs w:val="20"/>
          <w:lang w:val="en-GB" w:bidi="en-GB"/>
        </w:rPr>
        <w:t>Records</w:t>
      </w:r>
      <w:r w:rsidRPr="00593C72">
        <w:rPr>
          <w:i/>
          <w:sz w:val="20"/>
          <w:szCs w:val="20"/>
          <w:lang w:val="en-GB" w:bidi="en-GB"/>
        </w:rPr>
        <w:t xml:space="preserve"> maintained by the counselling centre take the form of client records in an electronic database which contains: </w:t>
      </w:r>
    </w:p>
    <w:p w:rsidR="003D6DC1" w:rsidRPr="00593C72" w:rsidRDefault="003D6DC1" w:rsidP="005F122D">
      <w:pPr>
        <w:pStyle w:val="Default"/>
        <w:numPr>
          <w:ilvl w:val="0"/>
          <w:numId w:val="3"/>
        </w:numPr>
        <w:rPr>
          <w:sz w:val="20"/>
          <w:szCs w:val="20"/>
          <w:lang w:val="en-GB"/>
        </w:rPr>
      </w:pPr>
      <w:r w:rsidRPr="00593C72">
        <w:rPr>
          <w:i/>
          <w:sz w:val="20"/>
          <w:szCs w:val="20"/>
          <w:lang w:val="en-GB" w:bidi="en-GB"/>
        </w:rPr>
        <w:t xml:space="preserve">names and surnames, dates of birth, places of permanent residence, client contact information (or of their legal guardian) </w:t>
      </w:r>
    </w:p>
    <w:p w:rsidR="003D6DC1" w:rsidRPr="00593C72" w:rsidRDefault="003D6DC1" w:rsidP="005F122D">
      <w:pPr>
        <w:pStyle w:val="Default"/>
        <w:numPr>
          <w:ilvl w:val="0"/>
          <w:numId w:val="3"/>
        </w:numPr>
        <w:rPr>
          <w:sz w:val="20"/>
          <w:szCs w:val="20"/>
          <w:lang w:val="en-GB"/>
        </w:rPr>
      </w:pPr>
      <w:r w:rsidRPr="00593C72">
        <w:rPr>
          <w:i/>
          <w:sz w:val="20"/>
          <w:szCs w:val="20"/>
          <w:lang w:val="en-GB" w:bidi="en-GB"/>
        </w:rPr>
        <w:t xml:space="preserve">indication of the school where the client is being educated, </w:t>
      </w:r>
    </w:p>
    <w:p w:rsidR="003D6DC1" w:rsidRPr="00593C72" w:rsidRDefault="003D6DC1" w:rsidP="005F122D">
      <w:pPr>
        <w:pStyle w:val="Default"/>
        <w:numPr>
          <w:ilvl w:val="0"/>
          <w:numId w:val="3"/>
        </w:numPr>
        <w:rPr>
          <w:sz w:val="20"/>
          <w:szCs w:val="20"/>
          <w:lang w:val="en-GB"/>
        </w:rPr>
      </w:pPr>
      <w:r w:rsidRPr="00593C72">
        <w:rPr>
          <w:i/>
          <w:sz w:val="20"/>
          <w:szCs w:val="20"/>
          <w:lang w:val="en-GB" w:bidi="en-GB"/>
        </w:rPr>
        <w:t xml:space="preserve">indication of the reason, type and means of provided care </w:t>
      </w:r>
    </w:p>
    <w:p w:rsidR="003D6DC1" w:rsidRPr="00593C72" w:rsidRDefault="003D6DC1" w:rsidP="005F122D">
      <w:pPr>
        <w:pStyle w:val="Default"/>
        <w:numPr>
          <w:ilvl w:val="0"/>
          <w:numId w:val="3"/>
        </w:numPr>
        <w:rPr>
          <w:sz w:val="20"/>
          <w:szCs w:val="20"/>
          <w:lang w:val="en-GB"/>
        </w:rPr>
      </w:pPr>
      <w:r w:rsidRPr="00593C72">
        <w:rPr>
          <w:i/>
          <w:sz w:val="20"/>
          <w:szCs w:val="20"/>
          <w:lang w:val="en-GB" w:bidi="en-GB"/>
        </w:rPr>
        <w:t xml:space="preserve">date of initiation and termination of counselling care, </w:t>
      </w:r>
    </w:p>
    <w:p w:rsidR="003D6DC1" w:rsidRPr="00593C72" w:rsidRDefault="003D6DC1" w:rsidP="005F122D">
      <w:pPr>
        <w:pStyle w:val="Default"/>
        <w:numPr>
          <w:ilvl w:val="0"/>
          <w:numId w:val="3"/>
        </w:numPr>
        <w:rPr>
          <w:sz w:val="20"/>
          <w:szCs w:val="20"/>
          <w:lang w:val="en-GB"/>
        </w:rPr>
      </w:pPr>
      <w:r w:rsidRPr="00593C72">
        <w:rPr>
          <w:i/>
          <w:sz w:val="20"/>
          <w:szCs w:val="20"/>
          <w:lang w:val="en-GB" w:bidi="en-GB"/>
        </w:rPr>
        <w:t xml:space="preserve">findings and recommendations stemming from the provided services </w:t>
      </w:r>
    </w:p>
    <w:p w:rsidR="003D6DC1" w:rsidRPr="00593C72" w:rsidRDefault="003D6DC1" w:rsidP="005F122D">
      <w:pPr>
        <w:pStyle w:val="Heading2"/>
        <w:rPr>
          <w:lang w:val="en-GB"/>
        </w:rPr>
      </w:pPr>
      <w:r w:rsidRPr="00593C72">
        <w:rPr>
          <w:lang w:val="en-GB" w:bidi="en-GB"/>
        </w:rPr>
        <w:t>II</w:t>
      </w:r>
      <w:r w:rsidR="00F74573">
        <w:rPr>
          <w:lang w:val="en-GB" w:bidi="en-GB"/>
        </w:rPr>
        <w:t>.</w:t>
      </w:r>
      <w:r w:rsidRPr="00593C72">
        <w:rPr>
          <w:lang w:val="en-GB" w:bidi="en-GB"/>
        </w:rPr>
        <w:t xml:space="preserve"> Transfer of personal data </w:t>
      </w:r>
    </w:p>
    <w:p w:rsidR="003D6DC1" w:rsidRPr="00593C72" w:rsidRDefault="003D6DC1" w:rsidP="005F122D">
      <w:pPr>
        <w:pStyle w:val="Default"/>
        <w:spacing w:after="120"/>
        <w:rPr>
          <w:sz w:val="20"/>
          <w:szCs w:val="20"/>
          <w:lang w:val="en-GB"/>
        </w:rPr>
      </w:pPr>
      <w:r w:rsidRPr="00593C72">
        <w:rPr>
          <w:sz w:val="20"/>
          <w:szCs w:val="20"/>
          <w:lang w:val="en-GB" w:bidi="en-GB"/>
        </w:rPr>
        <w:t xml:space="preserve">According to the relevant provisions of the Personal Data Protection Act, the </w:t>
      </w:r>
      <w:r w:rsidRPr="00593C72">
        <w:rPr>
          <w:b/>
          <w:sz w:val="20"/>
          <w:szCs w:val="20"/>
          <w:lang w:val="en-GB" w:bidi="en-GB"/>
        </w:rPr>
        <w:t>transfer</w:t>
      </w:r>
      <w:r w:rsidRPr="00593C72">
        <w:rPr>
          <w:sz w:val="20"/>
          <w:szCs w:val="20"/>
          <w:lang w:val="en-GB" w:bidi="en-GB"/>
        </w:rPr>
        <w:t xml:space="preserve"> of personal data is also considered to be processing. For this reason the transfer of the results of evaluations (including written results) to another person requires the consent of the client (or their legal guardian); in the case of medical details this “Consent” is absolutely necessary. </w:t>
      </w:r>
    </w:p>
    <w:p w:rsidR="005F122D" w:rsidRPr="00593C72" w:rsidRDefault="003D6DC1" w:rsidP="003D6DC1">
      <w:pPr>
        <w:pStyle w:val="Default"/>
        <w:rPr>
          <w:sz w:val="20"/>
          <w:szCs w:val="20"/>
          <w:lang w:val="en-GB"/>
        </w:rPr>
      </w:pPr>
      <w:r w:rsidRPr="00593C72">
        <w:rPr>
          <w:sz w:val="20"/>
          <w:szCs w:val="20"/>
          <w:lang w:val="en-GB" w:bidi="en-GB"/>
        </w:rPr>
        <w:t xml:space="preserve">In the case of prepared educational recommendations and in accordance with the applicable legal regulations, the above defined data may be further transferred to </w:t>
      </w:r>
      <w:bookmarkStart w:id="0" w:name="_GoBack"/>
      <w:bookmarkEnd w:id="0"/>
      <w:r w:rsidRPr="00593C72">
        <w:rPr>
          <w:sz w:val="20"/>
          <w:szCs w:val="20"/>
          <w:lang w:val="en-GB" w:bidi="en-GB"/>
        </w:rPr>
        <w:t xml:space="preserve">educational institutions (such as a kindergarten or primary school), but otherwise only to persons who can show their authorisation as set out in the Education Act or other specific legislation (for instance the Czech Police, courts or social and legal child protection organisations). </w:t>
      </w:r>
    </w:p>
    <w:p w:rsidR="005F122D" w:rsidRPr="00593C72" w:rsidRDefault="005F122D">
      <w:pPr>
        <w:spacing w:after="160" w:line="259" w:lineRule="auto"/>
        <w:rPr>
          <w:rFonts w:ascii="Calibri" w:eastAsiaTheme="minorHAnsi" w:hAnsi="Calibri" w:cs="Calibri"/>
          <w:color w:val="000000"/>
          <w:lang w:val="en-GB" w:eastAsia="en-US"/>
        </w:rPr>
      </w:pPr>
      <w:r w:rsidRPr="00593C72">
        <w:rPr>
          <w:lang w:val="en-GB" w:bidi="en-GB"/>
        </w:rPr>
        <w:br w:type="page"/>
      </w:r>
    </w:p>
    <w:p w:rsidR="003D6DC1" w:rsidRPr="00593C72" w:rsidRDefault="003D6DC1" w:rsidP="005F122D">
      <w:pPr>
        <w:pStyle w:val="Heading2"/>
        <w:rPr>
          <w:lang w:val="en-GB"/>
        </w:rPr>
      </w:pPr>
      <w:r w:rsidRPr="00593C72">
        <w:rPr>
          <w:lang w:val="en-GB" w:bidi="en-GB"/>
        </w:rPr>
        <w:lastRenderedPageBreak/>
        <w:t>III</w:t>
      </w:r>
      <w:r w:rsidR="00F74573">
        <w:rPr>
          <w:lang w:val="en-GB" w:bidi="en-GB"/>
        </w:rPr>
        <w:t>.</w:t>
      </w:r>
      <w:r w:rsidRPr="00593C72">
        <w:rPr>
          <w:lang w:val="en-GB" w:bidi="en-GB"/>
        </w:rPr>
        <w:t xml:space="preserve"> Supervision of personal data processing </w:t>
      </w:r>
    </w:p>
    <w:p w:rsidR="003D6DC1" w:rsidRPr="00593C72" w:rsidRDefault="003D6DC1" w:rsidP="003D6DC1">
      <w:pPr>
        <w:pStyle w:val="Default"/>
        <w:rPr>
          <w:color w:val="auto"/>
          <w:sz w:val="20"/>
          <w:szCs w:val="20"/>
          <w:lang w:val="en-GB"/>
        </w:rPr>
      </w:pPr>
      <w:r w:rsidRPr="00593C72">
        <w:rPr>
          <w:color w:val="auto"/>
          <w:sz w:val="20"/>
          <w:szCs w:val="20"/>
          <w:lang w:val="en-GB" w:bidi="en-GB"/>
        </w:rPr>
        <w:t xml:space="preserve">Supervision in the area of personal data processing is carried out by the Office for Personal Data Protection (www.uoou.cz). </w:t>
      </w:r>
    </w:p>
    <w:p w:rsidR="003D6DC1" w:rsidRPr="00593C72" w:rsidRDefault="003D6DC1" w:rsidP="003D6DC1">
      <w:pPr>
        <w:pStyle w:val="Default"/>
        <w:rPr>
          <w:color w:val="auto"/>
          <w:sz w:val="20"/>
          <w:szCs w:val="20"/>
          <w:lang w:val="en-GB"/>
        </w:rPr>
      </w:pPr>
      <w:r w:rsidRPr="00593C72">
        <w:rPr>
          <w:color w:val="auto"/>
          <w:sz w:val="20"/>
          <w:szCs w:val="20"/>
          <w:lang w:val="en-GB" w:bidi="en-GB"/>
        </w:rPr>
        <w:t xml:space="preserve">PPP STEP has a contractual representative for personal data protection (see point V) </w:t>
      </w:r>
    </w:p>
    <w:p w:rsidR="003D6DC1" w:rsidRPr="00593C72" w:rsidRDefault="003D6DC1" w:rsidP="005F122D">
      <w:pPr>
        <w:pStyle w:val="Heading2"/>
        <w:rPr>
          <w:lang w:val="en-GB"/>
        </w:rPr>
      </w:pPr>
      <w:r w:rsidRPr="00593C72">
        <w:rPr>
          <w:lang w:val="en-GB" w:bidi="en-GB"/>
        </w:rPr>
        <w:t>IV</w:t>
      </w:r>
      <w:r w:rsidR="00F74573">
        <w:rPr>
          <w:lang w:val="en-GB" w:bidi="en-GB"/>
        </w:rPr>
        <w:t>.</w:t>
      </w:r>
      <w:r w:rsidRPr="00593C72">
        <w:rPr>
          <w:lang w:val="en-GB" w:bidi="en-GB"/>
        </w:rPr>
        <w:t xml:space="preserve"> Duration of processing </w:t>
      </w:r>
    </w:p>
    <w:p w:rsidR="003D6DC1" w:rsidRPr="00593C72" w:rsidRDefault="003D6DC1" w:rsidP="003D6DC1">
      <w:pPr>
        <w:pStyle w:val="Default"/>
        <w:rPr>
          <w:color w:val="auto"/>
          <w:sz w:val="20"/>
          <w:szCs w:val="20"/>
          <w:lang w:val="en-GB"/>
        </w:rPr>
      </w:pPr>
      <w:r w:rsidRPr="00593C72">
        <w:rPr>
          <w:color w:val="auto"/>
          <w:sz w:val="20"/>
          <w:szCs w:val="20"/>
          <w:lang w:val="en-GB" w:bidi="en-GB"/>
        </w:rPr>
        <w:t xml:space="preserve">This “Consent” is provided for the duration of the provision of services between us and you and further for a period of 20 years of the termination of provision of services for data processed for the fulfilment of further legal regulations (according to the shredding rules of PPP STEP). You can withdraw your consent to the processing of personal data at any time (see point V) </w:t>
      </w:r>
    </w:p>
    <w:p w:rsidR="003D6DC1" w:rsidRPr="00593C72" w:rsidRDefault="003D6DC1" w:rsidP="005F122D">
      <w:pPr>
        <w:pStyle w:val="Heading2"/>
        <w:rPr>
          <w:lang w:val="en-GB"/>
        </w:rPr>
      </w:pPr>
      <w:r w:rsidRPr="00593C72">
        <w:rPr>
          <w:lang w:val="en-GB" w:bidi="en-GB"/>
        </w:rPr>
        <w:t>V</w:t>
      </w:r>
      <w:r w:rsidR="00F74573">
        <w:rPr>
          <w:lang w:val="en-GB" w:bidi="en-GB"/>
        </w:rPr>
        <w:t>.</w:t>
      </w:r>
      <w:r w:rsidRPr="00593C72">
        <w:rPr>
          <w:lang w:val="en-GB" w:bidi="en-GB"/>
        </w:rPr>
        <w:t xml:space="preserve"> Client rights </w:t>
      </w:r>
    </w:p>
    <w:p w:rsidR="003D6DC1" w:rsidRPr="00593C72" w:rsidRDefault="003D6DC1" w:rsidP="003D6DC1">
      <w:pPr>
        <w:pStyle w:val="Default"/>
        <w:rPr>
          <w:color w:val="auto"/>
          <w:sz w:val="20"/>
          <w:szCs w:val="20"/>
          <w:lang w:val="en-GB"/>
        </w:rPr>
      </w:pPr>
      <w:r w:rsidRPr="00593C72">
        <w:rPr>
          <w:color w:val="auto"/>
          <w:sz w:val="20"/>
          <w:szCs w:val="20"/>
          <w:lang w:val="en-GB" w:bidi="en-GB"/>
        </w:rPr>
        <w:t xml:space="preserve">The client (or their legal guardian) has the right: </w:t>
      </w:r>
    </w:p>
    <w:p w:rsidR="005F122D" w:rsidRPr="00593C72" w:rsidRDefault="003D6DC1" w:rsidP="005F122D">
      <w:pPr>
        <w:pStyle w:val="Default"/>
        <w:numPr>
          <w:ilvl w:val="1"/>
          <w:numId w:val="5"/>
        </w:numPr>
        <w:ind w:left="142" w:hanging="142"/>
        <w:rPr>
          <w:i/>
          <w:iCs/>
          <w:color w:val="auto"/>
          <w:sz w:val="20"/>
          <w:szCs w:val="20"/>
          <w:lang w:val="en-GB"/>
        </w:rPr>
      </w:pPr>
      <w:r w:rsidRPr="00593C72">
        <w:rPr>
          <w:i/>
          <w:color w:val="auto"/>
          <w:sz w:val="20"/>
          <w:szCs w:val="20"/>
          <w:lang w:val="en-GB" w:bidi="en-GB"/>
        </w:rPr>
        <w:t xml:space="preserve">to access to personal data, </w:t>
      </w:r>
    </w:p>
    <w:p w:rsidR="005F122D" w:rsidRPr="00593C72" w:rsidRDefault="003D6DC1" w:rsidP="005F122D">
      <w:pPr>
        <w:pStyle w:val="Default"/>
        <w:numPr>
          <w:ilvl w:val="1"/>
          <w:numId w:val="5"/>
        </w:numPr>
        <w:ind w:left="142" w:hanging="142"/>
        <w:rPr>
          <w:i/>
          <w:iCs/>
          <w:color w:val="auto"/>
          <w:sz w:val="20"/>
          <w:szCs w:val="20"/>
          <w:lang w:val="en-GB"/>
        </w:rPr>
      </w:pPr>
      <w:r w:rsidRPr="00593C72">
        <w:rPr>
          <w:i/>
          <w:color w:val="auto"/>
          <w:sz w:val="20"/>
          <w:szCs w:val="20"/>
          <w:lang w:val="en-GB" w:bidi="en-GB"/>
        </w:rPr>
        <w:t xml:space="preserve">to the correction or supplementation, </w:t>
      </w:r>
    </w:p>
    <w:p w:rsidR="003D6DC1" w:rsidRPr="00593C72" w:rsidRDefault="003D6DC1" w:rsidP="005F122D">
      <w:pPr>
        <w:pStyle w:val="Default"/>
        <w:numPr>
          <w:ilvl w:val="1"/>
          <w:numId w:val="5"/>
        </w:numPr>
        <w:ind w:left="142" w:hanging="142"/>
        <w:rPr>
          <w:color w:val="auto"/>
          <w:sz w:val="20"/>
          <w:szCs w:val="20"/>
          <w:lang w:val="en-GB"/>
        </w:rPr>
      </w:pPr>
      <w:r w:rsidRPr="00593C72">
        <w:rPr>
          <w:i/>
          <w:color w:val="auto"/>
          <w:sz w:val="20"/>
          <w:szCs w:val="20"/>
          <w:lang w:val="en-GB" w:bidi="en-GB"/>
        </w:rPr>
        <w:t xml:space="preserve">to deletion </w:t>
      </w:r>
      <w:r w:rsidRPr="00593C72">
        <w:rPr>
          <w:color w:val="auto"/>
          <w:sz w:val="20"/>
          <w:szCs w:val="20"/>
          <w:lang w:val="en-GB" w:bidi="en-GB"/>
        </w:rPr>
        <w:t xml:space="preserve">(does not apply to personal data where processing is being carried out on a legally required basis), </w:t>
      </w:r>
    </w:p>
    <w:p w:rsidR="005F122D" w:rsidRPr="00593C72" w:rsidRDefault="003D6DC1" w:rsidP="005F122D">
      <w:pPr>
        <w:pStyle w:val="Default"/>
        <w:numPr>
          <w:ilvl w:val="1"/>
          <w:numId w:val="5"/>
        </w:numPr>
        <w:ind w:left="142" w:hanging="142"/>
        <w:rPr>
          <w:color w:val="auto"/>
          <w:sz w:val="20"/>
          <w:szCs w:val="20"/>
          <w:lang w:val="en-GB"/>
        </w:rPr>
      </w:pPr>
      <w:r w:rsidRPr="00593C72">
        <w:rPr>
          <w:i/>
          <w:color w:val="auto"/>
          <w:sz w:val="20"/>
          <w:szCs w:val="20"/>
          <w:lang w:val="en-GB" w:bidi="en-GB"/>
        </w:rPr>
        <w:t xml:space="preserve">to limited processing </w:t>
      </w:r>
      <w:r w:rsidRPr="00593C72">
        <w:rPr>
          <w:color w:val="auto"/>
          <w:sz w:val="20"/>
          <w:szCs w:val="20"/>
          <w:lang w:val="en-GB" w:bidi="en-GB"/>
        </w:rPr>
        <w:t xml:space="preserve">(does not apply to personal data where processing is being carried out on a legally required basis), </w:t>
      </w:r>
    </w:p>
    <w:p w:rsidR="005F122D" w:rsidRPr="00593C72" w:rsidRDefault="003D6DC1" w:rsidP="005F122D">
      <w:pPr>
        <w:pStyle w:val="Default"/>
        <w:numPr>
          <w:ilvl w:val="1"/>
          <w:numId w:val="5"/>
        </w:numPr>
        <w:ind w:left="142" w:hanging="142"/>
        <w:rPr>
          <w:color w:val="auto"/>
          <w:sz w:val="20"/>
          <w:szCs w:val="20"/>
          <w:lang w:val="en-GB"/>
        </w:rPr>
      </w:pPr>
      <w:r w:rsidRPr="00593C72">
        <w:rPr>
          <w:i/>
          <w:color w:val="auto"/>
          <w:sz w:val="20"/>
          <w:szCs w:val="20"/>
          <w:lang w:val="en-GB" w:bidi="en-GB"/>
        </w:rPr>
        <w:t>to data portability,</w:t>
      </w:r>
      <w:r w:rsidRPr="00593C72">
        <w:rPr>
          <w:color w:val="auto"/>
          <w:sz w:val="20"/>
          <w:szCs w:val="20"/>
          <w:lang w:val="en-GB" w:bidi="en-GB"/>
        </w:rPr>
        <w:t xml:space="preserve"> </w:t>
      </w:r>
    </w:p>
    <w:p w:rsidR="005F122D" w:rsidRPr="00593C72" w:rsidRDefault="003D6DC1" w:rsidP="005F122D">
      <w:pPr>
        <w:pStyle w:val="Default"/>
        <w:numPr>
          <w:ilvl w:val="1"/>
          <w:numId w:val="5"/>
        </w:numPr>
        <w:ind w:left="142" w:hanging="142"/>
        <w:rPr>
          <w:color w:val="auto"/>
          <w:sz w:val="20"/>
          <w:szCs w:val="20"/>
          <w:lang w:val="en-GB"/>
        </w:rPr>
      </w:pPr>
      <w:r w:rsidRPr="00593C72">
        <w:rPr>
          <w:i/>
          <w:color w:val="auto"/>
          <w:sz w:val="20"/>
          <w:szCs w:val="20"/>
          <w:lang w:val="en-GB" w:bidi="en-GB"/>
        </w:rPr>
        <w:t>to raise complaints,</w:t>
      </w:r>
      <w:r w:rsidRPr="00593C72">
        <w:rPr>
          <w:color w:val="auto"/>
          <w:sz w:val="20"/>
          <w:szCs w:val="20"/>
          <w:lang w:val="en-GB" w:bidi="en-GB"/>
        </w:rPr>
        <w:t xml:space="preserve"> </w:t>
      </w:r>
    </w:p>
    <w:p w:rsidR="003D6DC1" w:rsidRPr="00593C72" w:rsidRDefault="003D6DC1" w:rsidP="005F122D">
      <w:pPr>
        <w:pStyle w:val="Default"/>
        <w:numPr>
          <w:ilvl w:val="1"/>
          <w:numId w:val="5"/>
        </w:numPr>
        <w:ind w:left="142" w:hanging="142"/>
        <w:rPr>
          <w:color w:val="auto"/>
          <w:sz w:val="20"/>
          <w:szCs w:val="20"/>
          <w:lang w:val="en-GB"/>
        </w:rPr>
      </w:pPr>
      <w:r w:rsidRPr="00593C72">
        <w:rPr>
          <w:i/>
          <w:color w:val="auto"/>
          <w:sz w:val="20"/>
          <w:szCs w:val="20"/>
          <w:lang w:val="en-GB" w:bidi="en-GB"/>
        </w:rPr>
        <w:t xml:space="preserve">not to be the subject of automatic individual decision-making with legal or similar results, including profiling. </w:t>
      </w:r>
    </w:p>
    <w:p w:rsidR="003D6DC1" w:rsidRPr="00593C72" w:rsidRDefault="003D6DC1" w:rsidP="005F122D">
      <w:pPr>
        <w:pStyle w:val="Default"/>
        <w:spacing w:after="60"/>
        <w:rPr>
          <w:color w:val="auto"/>
          <w:sz w:val="20"/>
          <w:szCs w:val="20"/>
          <w:lang w:val="en-GB"/>
        </w:rPr>
      </w:pPr>
      <w:r w:rsidRPr="00593C72">
        <w:rPr>
          <w:color w:val="auto"/>
          <w:sz w:val="20"/>
          <w:szCs w:val="20"/>
          <w:lang w:val="en-GB" w:bidi="en-GB"/>
        </w:rPr>
        <w:t xml:space="preserve">You can withdraw your “Consent” at any time, including during the provision of the services. To communicate with us concerning your rights, please contact: </w:t>
      </w:r>
    </w:p>
    <w:p w:rsidR="003D6DC1" w:rsidRPr="00593C72" w:rsidRDefault="003D6DC1" w:rsidP="005F122D">
      <w:pPr>
        <w:pStyle w:val="Default"/>
        <w:numPr>
          <w:ilvl w:val="1"/>
          <w:numId w:val="5"/>
        </w:numPr>
        <w:tabs>
          <w:tab w:val="left" w:pos="3686"/>
        </w:tabs>
        <w:ind w:left="142" w:hanging="142"/>
        <w:rPr>
          <w:i/>
          <w:iCs/>
          <w:color w:val="auto"/>
          <w:sz w:val="20"/>
          <w:szCs w:val="20"/>
          <w:lang w:val="en-GB"/>
        </w:rPr>
      </w:pPr>
      <w:r w:rsidRPr="00593C72">
        <w:rPr>
          <w:i/>
          <w:color w:val="auto"/>
          <w:sz w:val="20"/>
          <w:szCs w:val="20"/>
          <w:lang w:val="en-GB" w:bidi="en-GB"/>
        </w:rPr>
        <w:t>our data protection officer:</w:t>
      </w:r>
      <w:r w:rsidRPr="00593C72">
        <w:rPr>
          <w:i/>
          <w:color w:val="auto"/>
          <w:sz w:val="20"/>
          <w:szCs w:val="20"/>
          <w:lang w:val="en-GB" w:bidi="en-GB"/>
        </w:rPr>
        <w:tab/>
        <w:t xml:space="preserve">Ing. Luboš Fleischmann; lubos.fleischmann@gmail.com; phone 603 489 888 </w:t>
      </w:r>
    </w:p>
    <w:p w:rsidR="003D6DC1" w:rsidRPr="00593C72" w:rsidRDefault="005F122D" w:rsidP="005F122D">
      <w:pPr>
        <w:pStyle w:val="Default"/>
        <w:numPr>
          <w:ilvl w:val="1"/>
          <w:numId w:val="5"/>
        </w:numPr>
        <w:tabs>
          <w:tab w:val="left" w:pos="3686"/>
        </w:tabs>
        <w:ind w:left="142" w:hanging="142"/>
        <w:rPr>
          <w:i/>
          <w:iCs/>
          <w:color w:val="auto"/>
          <w:sz w:val="20"/>
          <w:szCs w:val="20"/>
          <w:lang w:val="en-GB"/>
        </w:rPr>
      </w:pPr>
      <w:r w:rsidRPr="00593C72">
        <w:rPr>
          <w:i/>
          <w:color w:val="auto"/>
          <w:sz w:val="20"/>
          <w:szCs w:val="20"/>
          <w:lang w:val="en-GB" w:bidi="en-GB"/>
        </w:rPr>
        <w:t>by email at the address:</w:t>
      </w:r>
      <w:r w:rsidRPr="00593C72">
        <w:rPr>
          <w:i/>
          <w:color w:val="auto"/>
          <w:sz w:val="20"/>
          <w:szCs w:val="20"/>
          <w:lang w:val="en-GB" w:bidi="en-GB"/>
        </w:rPr>
        <w:tab/>
        <w:t xml:space="preserve">info@ppporadna.cz, </w:t>
      </w:r>
    </w:p>
    <w:p w:rsidR="003D6DC1" w:rsidRPr="00593C72" w:rsidRDefault="005F122D" w:rsidP="005F122D">
      <w:pPr>
        <w:pStyle w:val="Default"/>
        <w:numPr>
          <w:ilvl w:val="1"/>
          <w:numId w:val="5"/>
        </w:numPr>
        <w:tabs>
          <w:tab w:val="left" w:pos="3686"/>
        </w:tabs>
        <w:ind w:left="142" w:hanging="142"/>
        <w:rPr>
          <w:i/>
          <w:iCs/>
          <w:color w:val="auto"/>
          <w:sz w:val="20"/>
          <w:szCs w:val="20"/>
          <w:lang w:val="en-GB"/>
        </w:rPr>
      </w:pPr>
      <w:r w:rsidRPr="00593C72">
        <w:rPr>
          <w:i/>
          <w:color w:val="auto"/>
          <w:sz w:val="20"/>
          <w:szCs w:val="20"/>
          <w:lang w:val="en-GB" w:bidi="en-GB"/>
        </w:rPr>
        <w:t>data box ID:</w:t>
      </w:r>
      <w:r w:rsidRPr="00593C72">
        <w:rPr>
          <w:i/>
          <w:color w:val="auto"/>
          <w:sz w:val="20"/>
          <w:szCs w:val="20"/>
          <w:lang w:val="en-GB" w:bidi="en-GB"/>
        </w:rPr>
        <w:tab/>
        <w:t xml:space="preserve">gjwndet, </w:t>
      </w:r>
    </w:p>
    <w:p w:rsidR="003D6DC1" w:rsidRPr="00593C72" w:rsidRDefault="005F122D" w:rsidP="005F122D">
      <w:pPr>
        <w:pStyle w:val="Default"/>
        <w:numPr>
          <w:ilvl w:val="1"/>
          <w:numId w:val="5"/>
        </w:numPr>
        <w:tabs>
          <w:tab w:val="left" w:pos="3686"/>
        </w:tabs>
        <w:spacing w:after="60"/>
        <w:ind w:left="142" w:hanging="142"/>
        <w:rPr>
          <w:i/>
          <w:iCs/>
          <w:color w:val="auto"/>
          <w:sz w:val="20"/>
          <w:szCs w:val="20"/>
          <w:lang w:val="en-GB"/>
        </w:rPr>
      </w:pPr>
      <w:r w:rsidRPr="00593C72">
        <w:rPr>
          <w:i/>
          <w:color w:val="auto"/>
          <w:sz w:val="20"/>
          <w:szCs w:val="20"/>
          <w:lang w:val="en-GB" w:bidi="en-GB"/>
        </w:rPr>
        <w:t>in writing at the address:</w:t>
      </w:r>
      <w:r w:rsidRPr="00593C72">
        <w:rPr>
          <w:i/>
          <w:color w:val="auto"/>
          <w:sz w:val="20"/>
          <w:szCs w:val="20"/>
          <w:lang w:val="en-GB" w:bidi="en-GB"/>
        </w:rPr>
        <w:tab/>
        <w:t xml:space="preserve">Pedagogicko-psychologická poradna STEP s.r.o., Floriánská 421, Kladno, </w:t>
      </w:r>
    </w:p>
    <w:p w:rsidR="003D6DC1" w:rsidRPr="00593C72" w:rsidRDefault="00593C72" w:rsidP="005F122D">
      <w:pPr>
        <w:pStyle w:val="Default"/>
        <w:spacing w:after="120"/>
        <w:rPr>
          <w:color w:val="auto"/>
          <w:sz w:val="20"/>
          <w:szCs w:val="20"/>
          <w:lang w:val="en-GB"/>
        </w:rPr>
      </w:pPr>
      <w:r w:rsidRPr="00593C72">
        <w:rPr>
          <w:color w:val="auto"/>
          <w:sz w:val="20"/>
          <w:szCs w:val="20"/>
          <w:lang w:val="en-GB" w:bidi="en-GB"/>
        </w:rPr>
        <w:t>In</w:t>
      </w:r>
      <w:r w:rsidR="003D6DC1" w:rsidRPr="00593C72">
        <w:rPr>
          <w:color w:val="auto"/>
          <w:sz w:val="20"/>
          <w:szCs w:val="20"/>
          <w:lang w:val="en-GB" w:bidi="en-GB"/>
        </w:rPr>
        <w:t xml:space="preserve"> each case please provide at least your identifying information and requirements. </w:t>
      </w:r>
    </w:p>
    <w:p w:rsidR="003D6DC1" w:rsidRPr="00593C72" w:rsidRDefault="003D6DC1" w:rsidP="005F122D">
      <w:pPr>
        <w:pStyle w:val="Default"/>
        <w:spacing w:after="120"/>
        <w:rPr>
          <w:color w:val="auto"/>
          <w:sz w:val="20"/>
          <w:szCs w:val="20"/>
          <w:lang w:val="en-GB"/>
        </w:rPr>
      </w:pPr>
      <w:r w:rsidRPr="00593C72">
        <w:rPr>
          <w:color w:val="auto"/>
          <w:sz w:val="20"/>
          <w:szCs w:val="20"/>
          <w:lang w:val="en-GB" w:bidi="en-GB"/>
        </w:rPr>
        <w:t xml:space="preserve">Withdrawal of this “Consent” does not impact the legality of processing resulting from the “Consent”, which was carried out before its withdrawal. </w:t>
      </w:r>
    </w:p>
    <w:p w:rsidR="005F122D" w:rsidRPr="00593C72" w:rsidRDefault="005F122D" w:rsidP="005F122D">
      <w:pPr>
        <w:pStyle w:val="Default"/>
        <w:spacing w:after="120"/>
        <w:rPr>
          <w:color w:val="auto"/>
          <w:sz w:val="20"/>
          <w:szCs w:val="20"/>
          <w:lang w:val="en-GB"/>
        </w:rPr>
      </w:pPr>
      <w:r w:rsidRPr="00593C72">
        <w:rPr>
          <w:color w:val="auto"/>
          <w:sz w:val="20"/>
          <w:szCs w:val="20"/>
          <w:lang w:val="en-GB" w:bidi="en-GB"/>
        </w:rPr>
        <w:t xml:space="preserve">Once the validity of the “Consent” has ended, your personal data (or sensitive personal data) will be deleted (or shredded) as long as there is no further legal requirement for their processing. </w:t>
      </w:r>
    </w:p>
    <w:tbl>
      <w:tblPr>
        <w:tblW w:w="5000" w:type="pct"/>
        <w:tblBorders>
          <w:top w:val="nil"/>
          <w:left w:val="nil"/>
          <w:bottom w:val="nil"/>
          <w:right w:val="nil"/>
        </w:tblBorders>
        <w:tblLayout w:type="fixed"/>
        <w:tblLook w:val="0000" w:firstRow="0" w:lastRow="0" w:firstColumn="0" w:lastColumn="0" w:noHBand="0" w:noVBand="0"/>
      </w:tblPr>
      <w:tblGrid>
        <w:gridCol w:w="5040"/>
        <w:gridCol w:w="5040"/>
      </w:tblGrid>
      <w:tr w:rsidR="003D6DC1" w:rsidRPr="00593C72" w:rsidTr="005F122D">
        <w:trPr>
          <w:trHeight w:val="110"/>
        </w:trPr>
        <w:tc>
          <w:tcPr>
            <w:tcW w:w="7618" w:type="dxa"/>
            <w:gridSpan w:val="2"/>
          </w:tcPr>
          <w:p w:rsidR="003D6DC1" w:rsidRPr="00593C72" w:rsidRDefault="003D6DC1">
            <w:pPr>
              <w:pStyle w:val="Default"/>
              <w:rPr>
                <w:sz w:val="20"/>
                <w:szCs w:val="20"/>
                <w:lang w:val="en-GB"/>
              </w:rPr>
            </w:pPr>
            <w:r w:rsidRPr="00593C72">
              <w:rPr>
                <w:sz w:val="20"/>
                <w:szCs w:val="20"/>
                <w:lang w:val="en-GB" w:bidi="en-GB"/>
              </w:rPr>
              <w:t xml:space="preserve">PPP STEP employee providing this information: </w:t>
            </w:r>
          </w:p>
        </w:tc>
      </w:tr>
      <w:tr w:rsidR="003D6DC1" w:rsidRPr="00593C72" w:rsidTr="005F122D">
        <w:trPr>
          <w:trHeight w:val="110"/>
        </w:trPr>
        <w:tc>
          <w:tcPr>
            <w:tcW w:w="7618" w:type="dxa"/>
            <w:gridSpan w:val="2"/>
          </w:tcPr>
          <w:p w:rsidR="003D6DC1" w:rsidRPr="00593C72" w:rsidRDefault="003D6DC1">
            <w:pPr>
              <w:pStyle w:val="Default"/>
              <w:rPr>
                <w:sz w:val="20"/>
                <w:szCs w:val="20"/>
                <w:lang w:val="en-GB"/>
              </w:rPr>
            </w:pPr>
            <w:r w:rsidRPr="00593C72">
              <w:rPr>
                <w:sz w:val="20"/>
                <w:szCs w:val="20"/>
                <w:lang w:val="en-GB" w:bidi="en-GB"/>
              </w:rPr>
              <w:t xml:space="preserve">In Kladno / Prague on: </w:t>
            </w:r>
          </w:p>
        </w:tc>
      </w:tr>
      <w:tr w:rsidR="003D6DC1" w:rsidRPr="00593C72" w:rsidTr="005F122D">
        <w:trPr>
          <w:trHeight w:val="110"/>
        </w:trPr>
        <w:tc>
          <w:tcPr>
            <w:tcW w:w="3809" w:type="dxa"/>
          </w:tcPr>
          <w:p w:rsidR="003D6DC1" w:rsidRPr="00593C72" w:rsidRDefault="003D6DC1">
            <w:pPr>
              <w:pStyle w:val="Default"/>
              <w:rPr>
                <w:sz w:val="20"/>
                <w:szCs w:val="20"/>
                <w:lang w:val="en-GB"/>
              </w:rPr>
            </w:pPr>
            <w:r w:rsidRPr="00593C72">
              <w:rPr>
                <w:i/>
                <w:sz w:val="20"/>
                <w:szCs w:val="20"/>
                <w:lang w:val="en-GB" w:bidi="en-GB"/>
              </w:rPr>
              <w:t xml:space="preserve">name and surname: </w:t>
            </w:r>
          </w:p>
        </w:tc>
        <w:tc>
          <w:tcPr>
            <w:tcW w:w="3809" w:type="dxa"/>
          </w:tcPr>
          <w:p w:rsidR="003D6DC1" w:rsidRPr="00593C72" w:rsidRDefault="003D6DC1">
            <w:pPr>
              <w:pStyle w:val="Default"/>
              <w:rPr>
                <w:sz w:val="20"/>
                <w:szCs w:val="20"/>
                <w:lang w:val="en-GB"/>
              </w:rPr>
            </w:pPr>
            <w:r w:rsidRPr="00593C72">
              <w:rPr>
                <w:i/>
                <w:sz w:val="20"/>
                <w:szCs w:val="20"/>
                <w:lang w:val="en-GB" w:bidi="en-GB"/>
              </w:rPr>
              <w:t xml:space="preserve">signature: </w:t>
            </w:r>
          </w:p>
        </w:tc>
      </w:tr>
    </w:tbl>
    <w:p w:rsidR="007045AC" w:rsidRPr="00593C72" w:rsidRDefault="007045AC" w:rsidP="00A239A2">
      <w:pPr>
        <w:jc w:val="center"/>
        <w:rPr>
          <w:rFonts w:asciiTheme="minorHAnsi" w:hAnsiTheme="minorHAnsi" w:cs="Arial"/>
          <w:b/>
          <w:u w:val="single"/>
          <w:lang w:val="en-GB"/>
        </w:rPr>
      </w:pPr>
    </w:p>
    <w:sectPr w:rsidR="007045AC" w:rsidRPr="00593C72" w:rsidSect="005F122D">
      <w:footerReference w:type="default" r:id="rId8"/>
      <w:pgSz w:w="11906" w:h="16838"/>
      <w:pgMar w:top="567" w:right="1021" w:bottom="851" w:left="1021" w:header="28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6AD" w:rsidRDefault="003E66AD" w:rsidP="005050EC">
      <w:r>
        <w:separator/>
      </w:r>
    </w:p>
  </w:endnote>
  <w:endnote w:type="continuationSeparator" w:id="0">
    <w:p w:rsidR="003E66AD" w:rsidRDefault="003E66AD" w:rsidP="00505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22D" w:rsidRPr="005F122D" w:rsidRDefault="005F122D" w:rsidP="005F122D">
    <w:pPr>
      <w:pStyle w:val="Footer"/>
      <w:jc w:val="right"/>
      <w:rPr>
        <w:rFonts w:asciiTheme="minorHAnsi" w:hAnsiTheme="minorHAnsi" w:cstheme="minorHAnsi"/>
        <w:b/>
        <w:bCs/>
      </w:rPr>
    </w:pPr>
    <w:r w:rsidRPr="005F122D">
      <w:rPr>
        <w:rFonts w:asciiTheme="minorHAnsi" w:hAnsiTheme="minorHAnsi" w:cstheme="minorHAnsi"/>
        <w:lang w:val="en-GB" w:bidi="en-GB"/>
      </w:rPr>
      <w:t xml:space="preserve">Page </w:t>
    </w:r>
    <w:r w:rsidRPr="005F122D">
      <w:rPr>
        <w:rFonts w:asciiTheme="minorHAnsi" w:hAnsiTheme="minorHAnsi" w:cstheme="minorHAnsi"/>
        <w:b/>
        <w:lang w:val="en-GB" w:bidi="en-GB"/>
      </w:rPr>
      <w:fldChar w:fldCharType="begin"/>
    </w:r>
    <w:r w:rsidRPr="005F122D">
      <w:rPr>
        <w:rFonts w:asciiTheme="minorHAnsi" w:hAnsiTheme="minorHAnsi" w:cstheme="minorHAnsi"/>
        <w:b/>
        <w:lang w:val="en-GB" w:bidi="en-GB"/>
      </w:rPr>
      <w:instrText>PAGE  \* Arabic  \* MERGEFORMAT</w:instrText>
    </w:r>
    <w:r w:rsidRPr="005F122D">
      <w:rPr>
        <w:rFonts w:asciiTheme="minorHAnsi" w:hAnsiTheme="minorHAnsi" w:cstheme="minorHAnsi"/>
        <w:b/>
        <w:lang w:val="en-GB" w:bidi="en-GB"/>
      </w:rPr>
      <w:fldChar w:fldCharType="separate"/>
    </w:r>
    <w:r w:rsidR="00F74573">
      <w:rPr>
        <w:rFonts w:asciiTheme="minorHAnsi" w:hAnsiTheme="minorHAnsi" w:cstheme="minorHAnsi"/>
        <w:b/>
        <w:noProof/>
        <w:lang w:val="en-GB" w:bidi="en-GB"/>
      </w:rPr>
      <w:t>2</w:t>
    </w:r>
    <w:r w:rsidRPr="005F122D">
      <w:rPr>
        <w:rFonts w:asciiTheme="minorHAnsi" w:hAnsiTheme="minorHAnsi" w:cstheme="minorHAnsi"/>
        <w:b/>
        <w:lang w:val="en-GB" w:bidi="en-GB"/>
      </w:rPr>
      <w:fldChar w:fldCharType="end"/>
    </w:r>
    <w:r w:rsidRPr="005F122D">
      <w:rPr>
        <w:rFonts w:asciiTheme="minorHAnsi" w:hAnsiTheme="minorHAnsi" w:cstheme="minorHAnsi"/>
        <w:lang w:val="en-GB" w:bidi="en-GB"/>
      </w:rPr>
      <w:t xml:space="preserve"> of </w:t>
    </w:r>
    <w:r w:rsidRPr="005F122D">
      <w:rPr>
        <w:rFonts w:asciiTheme="minorHAnsi" w:hAnsiTheme="minorHAnsi" w:cstheme="minorHAnsi"/>
        <w:b/>
        <w:lang w:val="en-GB" w:bidi="en-GB"/>
      </w:rPr>
      <w:fldChar w:fldCharType="begin"/>
    </w:r>
    <w:r w:rsidRPr="005F122D">
      <w:rPr>
        <w:rFonts w:asciiTheme="minorHAnsi" w:hAnsiTheme="minorHAnsi" w:cstheme="minorHAnsi"/>
        <w:b/>
        <w:lang w:val="en-GB" w:bidi="en-GB"/>
      </w:rPr>
      <w:instrText>NUMPAGES  \* Arabic  \* MERGEFORMAT</w:instrText>
    </w:r>
    <w:r w:rsidRPr="005F122D">
      <w:rPr>
        <w:rFonts w:asciiTheme="minorHAnsi" w:hAnsiTheme="minorHAnsi" w:cstheme="minorHAnsi"/>
        <w:b/>
        <w:lang w:val="en-GB" w:bidi="en-GB"/>
      </w:rPr>
      <w:fldChar w:fldCharType="separate"/>
    </w:r>
    <w:r w:rsidR="00F74573">
      <w:rPr>
        <w:rFonts w:asciiTheme="minorHAnsi" w:hAnsiTheme="minorHAnsi" w:cstheme="minorHAnsi"/>
        <w:b/>
        <w:noProof/>
        <w:lang w:val="en-GB" w:bidi="en-GB"/>
      </w:rPr>
      <w:t>2</w:t>
    </w:r>
    <w:r w:rsidRPr="005F122D">
      <w:rPr>
        <w:rFonts w:asciiTheme="minorHAnsi" w:hAnsiTheme="minorHAnsi" w:cstheme="minorHAnsi"/>
        <w:b/>
        <w:lang w:val="en-GB" w:bidi="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6AD" w:rsidRDefault="003E66AD" w:rsidP="005050EC">
      <w:r>
        <w:separator/>
      </w:r>
    </w:p>
  </w:footnote>
  <w:footnote w:type="continuationSeparator" w:id="0">
    <w:p w:rsidR="003E66AD" w:rsidRDefault="003E66AD" w:rsidP="005050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6034E"/>
    <w:multiLevelType w:val="hybridMultilevel"/>
    <w:tmpl w:val="DD52573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817E06"/>
    <w:multiLevelType w:val="hybridMultilevel"/>
    <w:tmpl w:val="F9224BD8"/>
    <w:lvl w:ilvl="0" w:tplc="0A4C769E">
      <w:start w:val="1"/>
      <w:numFmt w:val="lowerLetter"/>
      <w:lvlText w:val="%1)"/>
      <w:lvlJc w:val="left"/>
      <w:pPr>
        <w:ind w:left="36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9A481E"/>
    <w:multiLevelType w:val="hybridMultilevel"/>
    <w:tmpl w:val="E9F025A8"/>
    <w:lvl w:ilvl="0" w:tplc="176E1F44">
      <w:start w:val="1"/>
      <w:numFmt w:val="lowerLetter"/>
      <w:lvlText w:val="%1)"/>
      <w:lvlJc w:val="left"/>
      <w:pPr>
        <w:ind w:left="36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8B369C5"/>
    <w:multiLevelType w:val="hybridMultilevel"/>
    <w:tmpl w:val="174E6BDA"/>
    <w:lvl w:ilvl="0" w:tplc="0A4C769E">
      <w:start w:val="1"/>
      <w:numFmt w:val="lowerLetter"/>
      <w:lvlText w:val="%1)"/>
      <w:lvlJc w:val="left"/>
      <w:pPr>
        <w:ind w:left="360" w:hanging="360"/>
      </w:pPr>
      <w:rPr>
        <w:rFonts w:hint="default"/>
        <w:i/>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A47000C"/>
    <w:multiLevelType w:val="hybridMultilevel"/>
    <w:tmpl w:val="F33CF6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0617C81"/>
    <w:multiLevelType w:val="hybridMultilevel"/>
    <w:tmpl w:val="8F1229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57A2414"/>
    <w:multiLevelType w:val="hybridMultilevel"/>
    <w:tmpl w:val="D89440F4"/>
    <w:lvl w:ilvl="0" w:tplc="176E1F44">
      <w:start w:val="1"/>
      <w:numFmt w:val="lowerLetter"/>
      <w:lvlText w:val="%1)"/>
      <w:lvlJc w:val="left"/>
      <w:pPr>
        <w:ind w:left="360" w:hanging="360"/>
      </w:pPr>
      <w:rPr>
        <w:rFonts w:hint="default"/>
        <w:i/>
      </w:rPr>
    </w:lvl>
    <w:lvl w:ilvl="1" w:tplc="5EB240DC">
      <w:start w:val="3"/>
      <w:numFmt w:val="bullet"/>
      <w:lvlText w:val="-"/>
      <w:lvlJc w:val="left"/>
      <w:pPr>
        <w:ind w:left="1080" w:hanging="360"/>
      </w:pPr>
      <w:rPr>
        <w:rFonts w:ascii="Calibri" w:eastAsiaTheme="minorHAnsi" w:hAnsi="Calibri" w:cs="Calibri"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7C412170"/>
    <w:multiLevelType w:val="hybridMultilevel"/>
    <w:tmpl w:val="E63C51D8"/>
    <w:lvl w:ilvl="0" w:tplc="F2CE5550">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num w:numId="1">
    <w:abstractNumId w:val="7"/>
  </w:num>
  <w:num w:numId="2">
    <w:abstractNumId w:val="5"/>
  </w:num>
  <w:num w:numId="3">
    <w:abstractNumId w:val="3"/>
  </w:num>
  <w:num w:numId="4">
    <w:abstractNumId w:val="1"/>
  </w:num>
  <w:num w:numId="5">
    <w:abstractNumId w:val="6"/>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9A2"/>
    <w:rsid w:val="000D54FE"/>
    <w:rsid w:val="00164CC2"/>
    <w:rsid w:val="001A38EB"/>
    <w:rsid w:val="00221B29"/>
    <w:rsid w:val="00267149"/>
    <w:rsid w:val="002A576E"/>
    <w:rsid w:val="002B7D97"/>
    <w:rsid w:val="003644FA"/>
    <w:rsid w:val="003B29AA"/>
    <w:rsid w:val="003B520C"/>
    <w:rsid w:val="003D6DC1"/>
    <w:rsid w:val="003E0D00"/>
    <w:rsid w:val="003E66AD"/>
    <w:rsid w:val="00411854"/>
    <w:rsid w:val="0044086D"/>
    <w:rsid w:val="00453CF9"/>
    <w:rsid w:val="004B143D"/>
    <w:rsid w:val="005050EC"/>
    <w:rsid w:val="00593C72"/>
    <w:rsid w:val="005C7928"/>
    <w:rsid w:val="005F122D"/>
    <w:rsid w:val="00680213"/>
    <w:rsid w:val="00687A68"/>
    <w:rsid w:val="006A605D"/>
    <w:rsid w:val="006B3F11"/>
    <w:rsid w:val="007045AC"/>
    <w:rsid w:val="007866C9"/>
    <w:rsid w:val="008327BB"/>
    <w:rsid w:val="008B79C2"/>
    <w:rsid w:val="008F53D5"/>
    <w:rsid w:val="00942B6B"/>
    <w:rsid w:val="00A239A2"/>
    <w:rsid w:val="00AE49A8"/>
    <w:rsid w:val="00B2501D"/>
    <w:rsid w:val="00BA59B2"/>
    <w:rsid w:val="00BB65D0"/>
    <w:rsid w:val="00C03038"/>
    <w:rsid w:val="00CA6FB3"/>
    <w:rsid w:val="00D14272"/>
    <w:rsid w:val="00D223C8"/>
    <w:rsid w:val="00D465EB"/>
    <w:rsid w:val="00D61AF5"/>
    <w:rsid w:val="00E14343"/>
    <w:rsid w:val="00E41440"/>
    <w:rsid w:val="00EA4F7B"/>
    <w:rsid w:val="00EB1E3B"/>
    <w:rsid w:val="00EE4FC0"/>
    <w:rsid w:val="00F25835"/>
    <w:rsid w:val="00F35366"/>
    <w:rsid w:val="00F745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307073-CC9E-4708-90AD-890A88BC5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9A2"/>
    <w:pPr>
      <w:spacing w:after="0" w:line="240" w:lineRule="auto"/>
    </w:pPr>
    <w:rPr>
      <w:rFonts w:ascii="Times New Roman" w:eastAsia="Times New Roman" w:hAnsi="Times New Roman" w:cs="Times New Roman"/>
      <w:sz w:val="20"/>
      <w:szCs w:val="20"/>
      <w:lang w:eastAsia="cs-CZ"/>
    </w:rPr>
  </w:style>
  <w:style w:type="paragraph" w:styleId="Heading2">
    <w:name w:val="heading 2"/>
    <w:basedOn w:val="Default"/>
    <w:next w:val="Normal"/>
    <w:link w:val="Heading2Char"/>
    <w:uiPriority w:val="9"/>
    <w:unhideWhenUsed/>
    <w:qFormat/>
    <w:rsid w:val="005F122D"/>
    <w:pPr>
      <w:spacing w:before="240"/>
      <w:jc w:val="center"/>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0EC"/>
    <w:pPr>
      <w:tabs>
        <w:tab w:val="center" w:pos="4536"/>
        <w:tab w:val="right" w:pos="9072"/>
      </w:tabs>
    </w:pPr>
  </w:style>
  <w:style w:type="character" w:customStyle="1" w:styleId="HeaderChar">
    <w:name w:val="Header Char"/>
    <w:basedOn w:val="DefaultParagraphFont"/>
    <w:link w:val="Header"/>
    <w:uiPriority w:val="99"/>
    <w:rsid w:val="005050EC"/>
  </w:style>
  <w:style w:type="paragraph" w:styleId="Footer">
    <w:name w:val="footer"/>
    <w:basedOn w:val="Normal"/>
    <w:link w:val="FooterChar"/>
    <w:uiPriority w:val="99"/>
    <w:unhideWhenUsed/>
    <w:rsid w:val="005050EC"/>
    <w:pPr>
      <w:tabs>
        <w:tab w:val="center" w:pos="4536"/>
        <w:tab w:val="right" w:pos="9072"/>
      </w:tabs>
    </w:pPr>
  </w:style>
  <w:style w:type="character" w:customStyle="1" w:styleId="FooterChar">
    <w:name w:val="Footer Char"/>
    <w:basedOn w:val="DefaultParagraphFont"/>
    <w:link w:val="Footer"/>
    <w:uiPriority w:val="99"/>
    <w:rsid w:val="005050EC"/>
  </w:style>
  <w:style w:type="character" w:styleId="Hyperlink">
    <w:name w:val="Hyperlink"/>
    <w:basedOn w:val="DefaultParagraphFont"/>
    <w:uiPriority w:val="99"/>
    <w:unhideWhenUsed/>
    <w:rsid w:val="002A576E"/>
    <w:rPr>
      <w:color w:val="0563C1" w:themeColor="hyperlink"/>
      <w:u w:val="single"/>
    </w:rPr>
  </w:style>
  <w:style w:type="paragraph" w:styleId="BalloonText">
    <w:name w:val="Balloon Text"/>
    <w:basedOn w:val="Normal"/>
    <w:link w:val="BalloonTextChar"/>
    <w:uiPriority w:val="99"/>
    <w:semiHidden/>
    <w:unhideWhenUsed/>
    <w:rsid w:val="00F25835"/>
    <w:rPr>
      <w:rFonts w:ascii="Tahoma" w:hAnsi="Tahoma" w:cs="Tahoma"/>
      <w:sz w:val="16"/>
      <w:szCs w:val="16"/>
    </w:rPr>
  </w:style>
  <w:style w:type="character" w:customStyle="1" w:styleId="BalloonTextChar">
    <w:name w:val="Balloon Text Char"/>
    <w:basedOn w:val="DefaultParagraphFont"/>
    <w:link w:val="BalloonText"/>
    <w:uiPriority w:val="99"/>
    <w:semiHidden/>
    <w:rsid w:val="00F25835"/>
    <w:rPr>
      <w:rFonts w:ascii="Tahoma" w:hAnsi="Tahoma" w:cs="Tahoma"/>
      <w:sz w:val="16"/>
      <w:szCs w:val="16"/>
    </w:rPr>
  </w:style>
  <w:style w:type="paragraph" w:styleId="ListParagraph">
    <w:name w:val="List Paragraph"/>
    <w:basedOn w:val="Normal"/>
    <w:uiPriority w:val="34"/>
    <w:qFormat/>
    <w:rsid w:val="00A239A2"/>
    <w:pPr>
      <w:ind w:left="708"/>
    </w:pPr>
  </w:style>
  <w:style w:type="table" w:styleId="TableGrid">
    <w:name w:val="Table Grid"/>
    <w:basedOn w:val="TableNormal"/>
    <w:uiPriority w:val="59"/>
    <w:rsid w:val="00A239A2"/>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D6DC1"/>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5F122D"/>
    <w:rPr>
      <w:rFonts w:ascii="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DOKUMENTY\PPP%20STEP\Formul&#225;&#345;e\hlavi&#269;kov&#253;%20pap&#237;r.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hlavičkový papír.dotx</Template>
  <TotalTime>22</TotalTime>
  <Pages>2</Pages>
  <Words>936</Words>
  <Characters>5526</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
    </vt:vector>
  </TitlesOfParts>
  <Company>STEP</Company>
  <LinksUpToDate>false</LinksUpToDate>
  <CharactersWithSpaces>6450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Jitka Klímová</dc:creator>
  <cp:lastModifiedBy>Thomas Prentis</cp:lastModifiedBy>
  <cp:revision>10</cp:revision>
  <dcterms:created xsi:type="dcterms:W3CDTF">2017-06-26T07:17:00Z</dcterms:created>
  <dcterms:modified xsi:type="dcterms:W3CDTF">2019-09-30T11:14:00Z</dcterms:modified>
</cp:coreProperties>
</file>